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60F4" w14:textId="6AB63D3B" w:rsidR="00152853" w:rsidRPr="003A797E" w:rsidRDefault="008D7545" w:rsidP="00615534">
      <w:pPr>
        <w:spacing w:after="120"/>
        <w:rPr>
          <w:b/>
          <w:bCs/>
          <w:sz w:val="20"/>
          <w:szCs w:val="20"/>
        </w:rPr>
      </w:pPr>
      <w:bookmarkStart w:id="0" w:name="_GoBack"/>
      <w:bookmarkEnd w:id="0"/>
      <w:r>
        <w:rPr>
          <w:b/>
          <w:bCs/>
          <w:sz w:val="20"/>
          <w:szCs w:val="20"/>
        </w:rPr>
        <w:t>The Common Travel Area</w:t>
      </w:r>
      <w:r w:rsidR="00A15404">
        <w:rPr>
          <w:b/>
          <w:bCs/>
          <w:sz w:val="20"/>
          <w:szCs w:val="20"/>
        </w:rPr>
        <w:t>: benefit entitlements and social housing</w:t>
      </w:r>
    </w:p>
    <w:p w14:paraId="06D3CE10" w14:textId="5F19C7DA" w:rsidR="00B31846" w:rsidRPr="003A797E" w:rsidRDefault="00152853" w:rsidP="00615534">
      <w:pPr>
        <w:spacing w:after="120"/>
        <w:rPr>
          <w:sz w:val="20"/>
          <w:szCs w:val="20"/>
        </w:rPr>
      </w:pPr>
      <w:r w:rsidRPr="003A797E">
        <w:rPr>
          <w:sz w:val="20"/>
          <w:szCs w:val="20"/>
        </w:rPr>
        <w:t xml:space="preserve">The Common Travel Area (CTA) is a reciprocal agreement between the British </w:t>
      </w:r>
      <w:r w:rsidR="003A797E" w:rsidRPr="003A797E">
        <w:rPr>
          <w:sz w:val="20"/>
          <w:szCs w:val="20"/>
        </w:rPr>
        <w:t>and</w:t>
      </w:r>
      <w:r w:rsidRPr="003A797E">
        <w:rPr>
          <w:sz w:val="20"/>
          <w:szCs w:val="20"/>
        </w:rPr>
        <w:t xml:space="preserve"> Irish Government that has existed in various forms since 1923</w:t>
      </w:r>
      <w:r w:rsidR="00FF5FB0" w:rsidRPr="003A797E">
        <w:rPr>
          <w:sz w:val="20"/>
          <w:szCs w:val="20"/>
        </w:rPr>
        <w:t xml:space="preserve">. Initially the CTA was regarded as an immigration area however this has evolved over many years </w:t>
      </w:r>
      <w:r w:rsidR="003A797E" w:rsidRPr="003A797E">
        <w:rPr>
          <w:sz w:val="20"/>
          <w:szCs w:val="20"/>
        </w:rPr>
        <w:t>and</w:t>
      </w:r>
      <w:r w:rsidR="00FF5FB0" w:rsidRPr="003A797E">
        <w:rPr>
          <w:sz w:val="20"/>
          <w:szCs w:val="20"/>
        </w:rPr>
        <w:t xml:space="preserve"> has come to cover many other aspects of life including benefit entitlement </w:t>
      </w:r>
      <w:r w:rsidR="003A797E" w:rsidRPr="003A797E">
        <w:rPr>
          <w:sz w:val="20"/>
          <w:szCs w:val="20"/>
        </w:rPr>
        <w:t>and</w:t>
      </w:r>
      <w:r w:rsidR="00FF5FB0" w:rsidRPr="003A797E">
        <w:rPr>
          <w:sz w:val="20"/>
          <w:szCs w:val="20"/>
        </w:rPr>
        <w:t xml:space="preserve"> access to </w:t>
      </w:r>
      <w:r w:rsidR="00F205DA" w:rsidRPr="003A797E">
        <w:rPr>
          <w:sz w:val="20"/>
          <w:szCs w:val="20"/>
        </w:rPr>
        <w:t>social housing</w:t>
      </w:r>
      <w:r w:rsidR="00565A0F" w:rsidRPr="003A797E">
        <w:rPr>
          <w:sz w:val="20"/>
          <w:szCs w:val="20"/>
        </w:rPr>
        <w:t xml:space="preserve">. Effectively </w:t>
      </w:r>
      <w:r w:rsidR="00B31846" w:rsidRPr="003A797E">
        <w:rPr>
          <w:sz w:val="20"/>
          <w:szCs w:val="20"/>
        </w:rPr>
        <w:t>the CTA</w:t>
      </w:r>
      <w:r w:rsidR="00565A0F" w:rsidRPr="003A797E">
        <w:rPr>
          <w:sz w:val="20"/>
          <w:szCs w:val="20"/>
        </w:rPr>
        <w:t xml:space="preserve"> means that while residing in </w:t>
      </w:r>
      <w:r w:rsidR="00781032">
        <w:rPr>
          <w:sz w:val="20"/>
          <w:szCs w:val="20"/>
        </w:rPr>
        <w:t>the United Kingdom</w:t>
      </w:r>
      <w:r w:rsidR="00F205DA" w:rsidRPr="003A797E">
        <w:rPr>
          <w:sz w:val="20"/>
          <w:szCs w:val="20"/>
        </w:rPr>
        <w:t>,</w:t>
      </w:r>
      <w:r w:rsidR="00565A0F" w:rsidRPr="003A797E">
        <w:rPr>
          <w:sz w:val="20"/>
          <w:szCs w:val="20"/>
        </w:rPr>
        <w:t xml:space="preserve"> Irish citizens are not treated as foreign nationals</w:t>
      </w:r>
      <w:r w:rsidR="00F77119" w:rsidRPr="003A797E">
        <w:rPr>
          <w:sz w:val="20"/>
          <w:szCs w:val="20"/>
        </w:rPr>
        <w:t>. Further</w:t>
      </w:r>
      <w:r w:rsidR="00781032">
        <w:rPr>
          <w:sz w:val="20"/>
          <w:szCs w:val="20"/>
        </w:rPr>
        <w:t>,</w:t>
      </w:r>
      <w:r w:rsidR="00F77119" w:rsidRPr="003A797E">
        <w:rPr>
          <w:rFonts w:ascii="Arial" w:hAnsi="Arial" w:cs="Arial"/>
          <w:color w:val="404040"/>
          <w:spacing w:val="3"/>
          <w:sz w:val="20"/>
          <w:szCs w:val="20"/>
          <w:shd w:val="clear" w:color="auto" w:fill="FFFFFF"/>
        </w:rPr>
        <w:t xml:space="preserve"> </w:t>
      </w:r>
      <w:r w:rsidR="00F77119" w:rsidRPr="003A797E">
        <w:rPr>
          <w:sz w:val="20"/>
          <w:szCs w:val="20"/>
        </w:rPr>
        <w:t>it is not dependant on European Union membership.</w:t>
      </w:r>
    </w:p>
    <w:p w14:paraId="6F237968" w14:textId="7B14E862" w:rsidR="00152853" w:rsidRPr="003A797E" w:rsidRDefault="00152853" w:rsidP="00615534">
      <w:pPr>
        <w:spacing w:after="120"/>
        <w:rPr>
          <w:sz w:val="20"/>
          <w:szCs w:val="20"/>
        </w:rPr>
      </w:pPr>
      <w:r w:rsidRPr="003A797E">
        <w:rPr>
          <w:sz w:val="20"/>
          <w:szCs w:val="20"/>
        </w:rPr>
        <w:t xml:space="preserve">Central to the CTA are reciprocal associated rights </w:t>
      </w:r>
      <w:r w:rsidR="003A797E" w:rsidRPr="003A797E">
        <w:rPr>
          <w:sz w:val="20"/>
          <w:szCs w:val="20"/>
        </w:rPr>
        <w:t>and</w:t>
      </w:r>
      <w:r w:rsidRPr="003A797E">
        <w:rPr>
          <w:sz w:val="20"/>
          <w:szCs w:val="20"/>
        </w:rPr>
        <w:t xml:space="preserve"> privileges for </w:t>
      </w:r>
      <w:r w:rsidR="00F205DA" w:rsidRPr="003A797E">
        <w:rPr>
          <w:sz w:val="20"/>
          <w:szCs w:val="20"/>
        </w:rPr>
        <w:t xml:space="preserve">Irish </w:t>
      </w:r>
      <w:r w:rsidR="003A797E" w:rsidRPr="003A797E">
        <w:rPr>
          <w:sz w:val="20"/>
          <w:szCs w:val="20"/>
        </w:rPr>
        <w:t>and</w:t>
      </w:r>
      <w:r w:rsidR="00F205DA" w:rsidRPr="003A797E">
        <w:rPr>
          <w:sz w:val="20"/>
          <w:szCs w:val="20"/>
        </w:rPr>
        <w:t xml:space="preserve"> British national</w:t>
      </w:r>
      <w:r w:rsidR="005F163B">
        <w:rPr>
          <w:sz w:val="20"/>
          <w:szCs w:val="20"/>
        </w:rPr>
        <w:t>s</w:t>
      </w:r>
      <w:r w:rsidRPr="003A797E">
        <w:rPr>
          <w:sz w:val="20"/>
          <w:szCs w:val="20"/>
        </w:rPr>
        <w:t>. These include</w:t>
      </w:r>
      <w:r w:rsidR="00781032">
        <w:rPr>
          <w:sz w:val="20"/>
          <w:szCs w:val="20"/>
        </w:rPr>
        <w:t>:</w:t>
      </w:r>
    </w:p>
    <w:p w14:paraId="3EF57781" w14:textId="7004F799" w:rsidR="00152853" w:rsidRPr="003A797E" w:rsidRDefault="00152853" w:rsidP="008D7545">
      <w:pPr>
        <w:pStyle w:val="ListParagraph"/>
        <w:numPr>
          <w:ilvl w:val="0"/>
          <w:numId w:val="1"/>
        </w:numPr>
        <w:spacing w:after="120"/>
        <w:rPr>
          <w:sz w:val="20"/>
          <w:szCs w:val="20"/>
        </w:rPr>
      </w:pPr>
      <w:r w:rsidRPr="003A797E">
        <w:rPr>
          <w:sz w:val="20"/>
          <w:szCs w:val="20"/>
        </w:rPr>
        <w:t xml:space="preserve">The right to enter </w:t>
      </w:r>
      <w:r w:rsidR="003A797E" w:rsidRPr="003A797E">
        <w:rPr>
          <w:sz w:val="20"/>
          <w:szCs w:val="20"/>
        </w:rPr>
        <w:t>and</w:t>
      </w:r>
      <w:r w:rsidRPr="003A797E">
        <w:rPr>
          <w:sz w:val="20"/>
          <w:szCs w:val="20"/>
        </w:rPr>
        <w:t xml:space="preserve"> reside</w:t>
      </w:r>
    </w:p>
    <w:p w14:paraId="1D44BDAF" w14:textId="6C23F0E8" w:rsidR="00B31846" w:rsidRPr="008D7545" w:rsidRDefault="00152853" w:rsidP="00615534">
      <w:pPr>
        <w:pStyle w:val="ListParagraph"/>
        <w:numPr>
          <w:ilvl w:val="0"/>
          <w:numId w:val="1"/>
        </w:numPr>
        <w:spacing w:after="120"/>
        <w:rPr>
          <w:sz w:val="20"/>
          <w:szCs w:val="20"/>
        </w:rPr>
      </w:pPr>
      <w:r w:rsidRPr="003A797E">
        <w:rPr>
          <w:sz w:val="20"/>
          <w:szCs w:val="20"/>
        </w:rPr>
        <w:t>Entitlement to the rights of the country that the person lives i</w:t>
      </w:r>
      <w:r w:rsidR="00FF5FB0" w:rsidRPr="003A797E">
        <w:rPr>
          <w:sz w:val="20"/>
          <w:szCs w:val="20"/>
        </w:rPr>
        <w:t>n</w:t>
      </w:r>
    </w:p>
    <w:p w14:paraId="688F8470" w14:textId="322079BB" w:rsidR="00565A0F" w:rsidRPr="003A797E" w:rsidRDefault="00FF5FB0" w:rsidP="00615534">
      <w:pPr>
        <w:spacing w:after="120"/>
        <w:rPr>
          <w:sz w:val="20"/>
          <w:szCs w:val="20"/>
        </w:rPr>
      </w:pPr>
      <w:r w:rsidRPr="003A797E">
        <w:rPr>
          <w:sz w:val="20"/>
          <w:szCs w:val="20"/>
        </w:rPr>
        <w:t>Until recently the agreement between the t</w:t>
      </w:r>
      <w:r w:rsidR="005F163B">
        <w:rPr>
          <w:sz w:val="20"/>
          <w:szCs w:val="20"/>
        </w:rPr>
        <w:t>w</w:t>
      </w:r>
      <w:r w:rsidRPr="003A797E">
        <w:rPr>
          <w:sz w:val="20"/>
          <w:szCs w:val="20"/>
        </w:rPr>
        <w:t xml:space="preserve">o nations remained largely informal in structure, however concerns about </w:t>
      </w:r>
      <w:r w:rsidR="00565A0F" w:rsidRPr="003A797E">
        <w:rPr>
          <w:sz w:val="20"/>
          <w:szCs w:val="20"/>
        </w:rPr>
        <w:t>its</w:t>
      </w:r>
      <w:r w:rsidRPr="003A797E">
        <w:rPr>
          <w:sz w:val="20"/>
          <w:szCs w:val="20"/>
        </w:rPr>
        <w:t xml:space="preserve"> status after </w:t>
      </w:r>
      <w:r w:rsidR="00781032">
        <w:rPr>
          <w:sz w:val="20"/>
          <w:szCs w:val="20"/>
        </w:rPr>
        <w:t>the UK</w:t>
      </w:r>
      <w:r w:rsidR="00781032" w:rsidRPr="003A797E">
        <w:rPr>
          <w:sz w:val="20"/>
          <w:szCs w:val="20"/>
        </w:rPr>
        <w:t xml:space="preserve"> </w:t>
      </w:r>
      <w:r w:rsidRPr="003A797E">
        <w:rPr>
          <w:sz w:val="20"/>
          <w:szCs w:val="20"/>
        </w:rPr>
        <w:t>leaves the EU meant that both governments agreed to sign a Memorandum of Understanding</w:t>
      </w:r>
      <w:r w:rsidR="00781032">
        <w:rPr>
          <w:sz w:val="20"/>
          <w:szCs w:val="20"/>
        </w:rPr>
        <w:t xml:space="preserve"> (MoU)</w:t>
      </w:r>
      <w:r w:rsidRPr="003A797E">
        <w:rPr>
          <w:sz w:val="20"/>
          <w:szCs w:val="20"/>
        </w:rPr>
        <w:t xml:space="preserve"> regarding the CTA. With this both governments </w:t>
      </w:r>
      <w:r w:rsidR="00565A0F" w:rsidRPr="003A797E">
        <w:rPr>
          <w:sz w:val="20"/>
          <w:szCs w:val="20"/>
        </w:rPr>
        <w:t>reiterated their commitment to keep the CTA in operation post Brexit</w:t>
      </w:r>
      <w:r w:rsidR="00000034" w:rsidRPr="003A797E">
        <w:rPr>
          <w:sz w:val="20"/>
          <w:szCs w:val="20"/>
        </w:rPr>
        <w:t xml:space="preserve">, whether </w:t>
      </w:r>
      <w:r w:rsidR="00781032">
        <w:rPr>
          <w:sz w:val="20"/>
          <w:szCs w:val="20"/>
        </w:rPr>
        <w:t>the UK</w:t>
      </w:r>
      <w:r w:rsidR="00781032" w:rsidRPr="003A797E">
        <w:rPr>
          <w:sz w:val="20"/>
          <w:szCs w:val="20"/>
        </w:rPr>
        <w:t xml:space="preserve"> </w:t>
      </w:r>
      <w:r w:rsidR="00000034" w:rsidRPr="003A797E">
        <w:rPr>
          <w:sz w:val="20"/>
          <w:szCs w:val="20"/>
        </w:rPr>
        <w:t>secures a deal or not.</w:t>
      </w:r>
    </w:p>
    <w:p w14:paraId="6CCBFE28" w14:textId="25D4C2E6" w:rsidR="004E2C9F" w:rsidRPr="003A797E" w:rsidRDefault="00565A0F" w:rsidP="00615534">
      <w:pPr>
        <w:spacing w:after="120"/>
        <w:rPr>
          <w:sz w:val="20"/>
          <w:szCs w:val="20"/>
        </w:rPr>
      </w:pPr>
      <w:r w:rsidRPr="003A797E">
        <w:rPr>
          <w:sz w:val="20"/>
          <w:szCs w:val="20"/>
        </w:rPr>
        <w:t xml:space="preserve">The MoU also reaffirms both Irish </w:t>
      </w:r>
      <w:r w:rsidR="003A797E" w:rsidRPr="003A797E">
        <w:rPr>
          <w:sz w:val="20"/>
          <w:szCs w:val="20"/>
        </w:rPr>
        <w:t>and</w:t>
      </w:r>
      <w:r w:rsidRPr="003A797E">
        <w:rPr>
          <w:sz w:val="20"/>
          <w:szCs w:val="20"/>
        </w:rPr>
        <w:t xml:space="preserve"> British government advice to their nationals residing in the other nation</w:t>
      </w:r>
      <w:r w:rsidR="00B31846" w:rsidRPr="003A797E">
        <w:rPr>
          <w:sz w:val="20"/>
          <w:szCs w:val="20"/>
        </w:rPr>
        <w:t>’</w:t>
      </w:r>
      <w:r w:rsidRPr="003A797E">
        <w:rPr>
          <w:sz w:val="20"/>
          <w:szCs w:val="20"/>
        </w:rPr>
        <w:t>s jurisdiction that</w:t>
      </w:r>
      <w:r w:rsidR="00781032">
        <w:rPr>
          <w:sz w:val="20"/>
          <w:szCs w:val="20"/>
        </w:rPr>
        <w:t>:</w:t>
      </w:r>
    </w:p>
    <w:p w14:paraId="0590EE08" w14:textId="671F44CE" w:rsidR="00FF5FB0" w:rsidRPr="003A797E" w:rsidRDefault="008D7545" w:rsidP="00615534">
      <w:pPr>
        <w:spacing w:after="120"/>
        <w:rPr>
          <w:sz w:val="20"/>
          <w:szCs w:val="20"/>
        </w:rPr>
      </w:pPr>
      <w:r>
        <w:rPr>
          <w:b/>
          <w:bCs/>
          <w:i/>
          <w:iCs/>
          <w:sz w:val="20"/>
          <w:szCs w:val="20"/>
        </w:rPr>
        <w:t>“</w:t>
      </w:r>
      <w:r w:rsidR="006E0434" w:rsidRPr="003A797E">
        <w:rPr>
          <w:b/>
          <w:bCs/>
          <w:i/>
          <w:iCs/>
          <w:sz w:val="20"/>
          <w:szCs w:val="20"/>
        </w:rPr>
        <w:t>Neither Irish citizens in the UK nor British citizens in Ireland are required to take any action to protect their status and rights associated with the CTA. Both Governments are committed to undertake all the work necessary, including through legislative provision, to ensure that the agreed CTA rights and privileges are protecte</w:t>
      </w:r>
      <w:r w:rsidR="004E2C9F">
        <w:rPr>
          <w:b/>
          <w:bCs/>
          <w:i/>
          <w:iCs/>
          <w:sz w:val="20"/>
          <w:szCs w:val="20"/>
        </w:rPr>
        <w:t>d</w:t>
      </w:r>
      <w:r>
        <w:rPr>
          <w:b/>
          <w:bCs/>
          <w:i/>
          <w:iCs/>
          <w:sz w:val="20"/>
          <w:szCs w:val="20"/>
        </w:rPr>
        <w:t>”</w:t>
      </w:r>
      <w:r w:rsidR="004E2C9F">
        <w:rPr>
          <w:b/>
          <w:bCs/>
          <w:i/>
          <w:iCs/>
          <w:sz w:val="20"/>
          <w:szCs w:val="20"/>
        </w:rPr>
        <w:t xml:space="preserve"> </w:t>
      </w:r>
      <w:r w:rsidR="00B31846" w:rsidRPr="00CA0A4E">
        <w:rPr>
          <w:sz w:val="20"/>
          <w:szCs w:val="20"/>
        </w:rPr>
        <w:t>a</w:t>
      </w:r>
      <w:r w:rsidR="00565A0F" w:rsidRPr="00CA0A4E">
        <w:rPr>
          <w:sz w:val="20"/>
          <w:szCs w:val="20"/>
        </w:rPr>
        <w:t xml:space="preserve">nd that there is an </w:t>
      </w:r>
      <w:r w:rsidR="00152853" w:rsidRPr="00CA0A4E">
        <w:rPr>
          <w:sz w:val="20"/>
          <w:szCs w:val="20"/>
        </w:rPr>
        <w:t xml:space="preserve">intention to keep all previous rights in their current form. </w:t>
      </w:r>
    </w:p>
    <w:p w14:paraId="69D5EB76" w14:textId="359F7AFD" w:rsidR="00F205DA" w:rsidRPr="003A797E" w:rsidRDefault="00F205DA" w:rsidP="00615534">
      <w:pPr>
        <w:spacing w:after="120"/>
        <w:rPr>
          <w:sz w:val="20"/>
          <w:szCs w:val="20"/>
        </w:rPr>
      </w:pPr>
      <w:r w:rsidRPr="003A797E">
        <w:rPr>
          <w:sz w:val="20"/>
          <w:szCs w:val="20"/>
        </w:rPr>
        <w:t xml:space="preserve">By signing the </w:t>
      </w:r>
      <w:r w:rsidR="00152853" w:rsidRPr="003A797E">
        <w:rPr>
          <w:sz w:val="20"/>
          <w:szCs w:val="20"/>
        </w:rPr>
        <w:t xml:space="preserve">MoU </w:t>
      </w:r>
      <w:r w:rsidRPr="003A797E">
        <w:rPr>
          <w:sz w:val="20"/>
          <w:szCs w:val="20"/>
        </w:rPr>
        <w:t>both governments h</w:t>
      </w:r>
      <w:r w:rsidR="00152853" w:rsidRPr="003A797E">
        <w:rPr>
          <w:sz w:val="20"/>
          <w:szCs w:val="20"/>
        </w:rPr>
        <w:t xml:space="preserve">ave confirmed that the citizens of either nation will continue to enjoy rights endowed by the CTA </w:t>
      </w:r>
      <w:r w:rsidR="003A797E" w:rsidRPr="003A797E">
        <w:rPr>
          <w:sz w:val="20"/>
          <w:szCs w:val="20"/>
        </w:rPr>
        <w:t>and</w:t>
      </w:r>
      <w:r w:rsidR="00565A0F" w:rsidRPr="003A797E">
        <w:rPr>
          <w:sz w:val="20"/>
          <w:szCs w:val="20"/>
        </w:rPr>
        <w:t xml:space="preserve"> that </w:t>
      </w:r>
      <w:r w:rsidR="00152853" w:rsidRPr="003A797E">
        <w:rPr>
          <w:sz w:val="20"/>
          <w:szCs w:val="20"/>
        </w:rPr>
        <w:t>there</w:t>
      </w:r>
      <w:r w:rsidR="00152853" w:rsidRPr="00CA0A4E">
        <w:rPr>
          <w:sz w:val="20"/>
          <w:szCs w:val="20"/>
        </w:rPr>
        <w:t xml:space="preserve"> </w:t>
      </w:r>
      <w:r w:rsidR="004E2C9F" w:rsidRPr="00CA0A4E">
        <w:rPr>
          <w:sz w:val="20"/>
          <w:szCs w:val="20"/>
        </w:rPr>
        <w:t xml:space="preserve">is </w:t>
      </w:r>
      <w:r w:rsidR="00565A0F" w:rsidRPr="003A797E">
        <w:rPr>
          <w:sz w:val="20"/>
          <w:szCs w:val="20"/>
        </w:rPr>
        <w:t>no</w:t>
      </w:r>
      <w:r w:rsidR="00152853" w:rsidRPr="003A797E">
        <w:rPr>
          <w:sz w:val="20"/>
          <w:szCs w:val="20"/>
        </w:rPr>
        <w:t xml:space="preserve"> intention to change these rights. </w:t>
      </w:r>
    </w:p>
    <w:p w14:paraId="56149168" w14:textId="61906709" w:rsidR="00B31846" w:rsidRPr="003A797E" w:rsidRDefault="00F205DA" w:rsidP="00615534">
      <w:pPr>
        <w:spacing w:after="120"/>
        <w:rPr>
          <w:sz w:val="20"/>
          <w:szCs w:val="20"/>
        </w:rPr>
      </w:pPr>
      <w:r w:rsidRPr="003A797E">
        <w:rPr>
          <w:sz w:val="20"/>
          <w:szCs w:val="20"/>
        </w:rPr>
        <w:t xml:space="preserve">As such we would like following points of the MoU to be noted by staff during any </w:t>
      </w:r>
      <w:r w:rsidR="005F163B" w:rsidRPr="003A797E">
        <w:rPr>
          <w:sz w:val="20"/>
          <w:szCs w:val="20"/>
        </w:rPr>
        <w:t>decision-making</w:t>
      </w:r>
      <w:r w:rsidRPr="003A797E">
        <w:rPr>
          <w:sz w:val="20"/>
          <w:szCs w:val="20"/>
        </w:rPr>
        <w:t xml:space="preserve"> process</w:t>
      </w:r>
      <w:r w:rsidR="008D7545">
        <w:rPr>
          <w:sz w:val="20"/>
          <w:szCs w:val="20"/>
        </w:rPr>
        <w:t>:</w:t>
      </w:r>
    </w:p>
    <w:p w14:paraId="28C3B515" w14:textId="77777777" w:rsidR="00F205DA" w:rsidRPr="00615534" w:rsidRDefault="00F205DA" w:rsidP="00615534">
      <w:pPr>
        <w:spacing w:after="120"/>
        <w:rPr>
          <w:b/>
          <w:bCs/>
          <w:sz w:val="20"/>
          <w:szCs w:val="20"/>
        </w:rPr>
      </w:pPr>
      <w:r w:rsidRPr="00615534">
        <w:rPr>
          <w:b/>
          <w:bCs/>
          <w:sz w:val="20"/>
          <w:szCs w:val="20"/>
        </w:rPr>
        <w:t>Social protection</w:t>
      </w:r>
    </w:p>
    <w:p w14:paraId="23A7FD66" w14:textId="7BCDA2FA" w:rsidR="008D7545" w:rsidRPr="00615534" w:rsidRDefault="00F205DA" w:rsidP="00615534">
      <w:pPr>
        <w:spacing w:after="120"/>
        <w:rPr>
          <w:sz w:val="20"/>
          <w:szCs w:val="20"/>
        </w:rPr>
      </w:pPr>
      <w:r w:rsidRPr="003A797E">
        <w:rPr>
          <w:sz w:val="20"/>
          <w:szCs w:val="20"/>
        </w:rPr>
        <w:t>Point 10 of the MoU states that</w:t>
      </w:r>
      <w:r w:rsidR="00781032">
        <w:rPr>
          <w:sz w:val="20"/>
          <w:szCs w:val="20"/>
        </w:rPr>
        <w:t>:</w:t>
      </w:r>
    </w:p>
    <w:p w14:paraId="677E74BE" w14:textId="1AF24171" w:rsidR="008D7545" w:rsidRPr="003A797E" w:rsidRDefault="008D7545" w:rsidP="00615534">
      <w:pPr>
        <w:spacing w:after="120"/>
        <w:rPr>
          <w:i/>
          <w:iCs/>
          <w:sz w:val="20"/>
          <w:szCs w:val="20"/>
        </w:rPr>
      </w:pPr>
      <w:r>
        <w:rPr>
          <w:i/>
          <w:iCs/>
          <w:sz w:val="20"/>
          <w:szCs w:val="20"/>
        </w:rPr>
        <w:t>“</w:t>
      </w:r>
      <w:r w:rsidR="00F205DA" w:rsidRPr="003A797E">
        <w:rPr>
          <w:i/>
          <w:iCs/>
          <w:sz w:val="20"/>
          <w:szCs w:val="20"/>
        </w:rPr>
        <w:t>The CTA affords British citizens residing or working in Ireland and Irish citizens residing or working in the UK, social security rights in each other’s state.  They are entitled, when in the other state, to the same social security rights, and are subject to the same obligations, as citizens of that state.</w:t>
      </w:r>
      <w:r>
        <w:rPr>
          <w:i/>
          <w:iCs/>
          <w:sz w:val="20"/>
          <w:szCs w:val="20"/>
        </w:rPr>
        <w:t>”</w:t>
      </w:r>
    </w:p>
    <w:p w14:paraId="5F19A06B" w14:textId="5C2E6F32" w:rsidR="00F205DA" w:rsidRPr="003A797E" w:rsidRDefault="00F205DA" w:rsidP="00615534">
      <w:pPr>
        <w:spacing w:after="120"/>
        <w:rPr>
          <w:sz w:val="20"/>
          <w:szCs w:val="20"/>
        </w:rPr>
      </w:pPr>
      <w:r w:rsidRPr="003A797E">
        <w:rPr>
          <w:sz w:val="20"/>
          <w:szCs w:val="20"/>
        </w:rPr>
        <w:t xml:space="preserve">This means that </w:t>
      </w:r>
      <w:r w:rsidR="00B31846" w:rsidRPr="003A797E">
        <w:rPr>
          <w:sz w:val="20"/>
          <w:szCs w:val="20"/>
        </w:rPr>
        <w:t xml:space="preserve">after </w:t>
      </w:r>
      <w:r w:rsidR="00781032">
        <w:rPr>
          <w:sz w:val="20"/>
          <w:szCs w:val="20"/>
        </w:rPr>
        <w:t>the UK</w:t>
      </w:r>
      <w:r w:rsidR="00781032" w:rsidRPr="003A797E">
        <w:rPr>
          <w:sz w:val="20"/>
          <w:szCs w:val="20"/>
        </w:rPr>
        <w:t xml:space="preserve"> </w:t>
      </w:r>
      <w:r w:rsidR="00B31846" w:rsidRPr="003A797E">
        <w:rPr>
          <w:sz w:val="20"/>
          <w:szCs w:val="20"/>
        </w:rPr>
        <w:t xml:space="preserve">leaves the EU, </w:t>
      </w:r>
      <w:r w:rsidRPr="003A797E">
        <w:rPr>
          <w:sz w:val="20"/>
          <w:szCs w:val="20"/>
        </w:rPr>
        <w:t xml:space="preserve">Irish nationals making a </w:t>
      </w:r>
      <w:r w:rsidR="00286A9C" w:rsidRPr="003A797E">
        <w:rPr>
          <w:sz w:val="20"/>
          <w:szCs w:val="20"/>
        </w:rPr>
        <w:t>claim</w:t>
      </w:r>
      <w:r w:rsidRPr="003A797E">
        <w:rPr>
          <w:sz w:val="20"/>
          <w:szCs w:val="20"/>
        </w:rPr>
        <w:t xml:space="preserve"> for either national or local welfare benefits or provision should not have </w:t>
      </w:r>
      <w:r w:rsidR="00B31846" w:rsidRPr="003A797E">
        <w:rPr>
          <w:sz w:val="20"/>
          <w:szCs w:val="20"/>
        </w:rPr>
        <w:t>their claim turned down on basis of citizenship.</w:t>
      </w:r>
    </w:p>
    <w:p w14:paraId="31C8EC95" w14:textId="1012D2BA" w:rsidR="00565A0F" w:rsidRPr="00615534" w:rsidRDefault="00565A0F" w:rsidP="00615534">
      <w:pPr>
        <w:spacing w:after="120"/>
        <w:rPr>
          <w:b/>
          <w:bCs/>
          <w:sz w:val="20"/>
          <w:szCs w:val="20"/>
        </w:rPr>
      </w:pPr>
      <w:r w:rsidRPr="00615534">
        <w:rPr>
          <w:b/>
          <w:bCs/>
          <w:sz w:val="20"/>
          <w:szCs w:val="20"/>
        </w:rPr>
        <w:t>Access to Social Housing</w:t>
      </w:r>
    </w:p>
    <w:p w14:paraId="63F7D3F2" w14:textId="7C6CC06E" w:rsidR="008D7545" w:rsidRPr="003A797E" w:rsidRDefault="00565A0F" w:rsidP="00615534">
      <w:pPr>
        <w:spacing w:after="120"/>
        <w:rPr>
          <w:sz w:val="20"/>
          <w:szCs w:val="20"/>
        </w:rPr>
      </w:pPr>
      <w:r w:rsidRPr="003A797E">
        <w:rPr>
          <w:sz w:val="20"/>
          <w:szCs w:val="20"/>
        </w:rPr>
        <w:t>Point 11 of the MoU states that</w:t>
      </w:r>
      <w:r w:rsidR="00781032">
        <w:rPr>
          <w:sz w:val="20"/>
          <w:szCs w:val="20"/>
        </w:rPr>
        <w:t>:</w:t>
      </w:r>
    </w:p>
    <w:p w14:paraId="27C7B07E" w14:textId="731F320C" w:rsidR="008D7545" w:rsidRPr="003A797E" w:rsidRDefault="008D7545" w:rsidP="00615534">
      <w:pPr>
        <w:spacing w:after="120"/>
        <w:rPr>
          <w:i/>
          <w:iCs/>
          <w:sz w:val="20"/>
          <w:szCs w:val="20"/>
        </w:rPr>
      </w:pPr>
      <w:r>
        <w:rPr>
          <w:i/>
          <w:iCs/>
          <w:sz w:val="20"/>
          <w:szCs w:val="20"/>
        </w:rPr>
        <w:t>“</w:t>
      </w:r>
      <w:r w:rsidR="00565A0F" w:rsidRPr="003A797E">
        <w:rPr>
          <w:i/>
          <w:iCs/>
          <w:sz w:val="20"/>
          <w:szCs w:val="20"/>
        </w:rPr>
        <w:t>The CTA affords British citizens residing in Ireland, and Irish citizens residing in the UK, the right to access social housing, including supported housing and homeless assistance, in each other’s state, on the same basis as citizens of that state.</w:t>
      </w:r>
      <w:r>
        <w:rPr>
          <w:i/>
          <w:iCs/>
          <w:sz w:val="20"/>
          <w:szCs w:val="20"/>
        </w:rPr>
        <w:t>”</w:t>
      </w:r>
    </w:p>
    <w:p w14:paraId="36A61F58" w14:textId="56F9F4AF" w:rsidR="00B31846" w:rsidRPr="003A797E" w:rsidRDefault="00565A0F" w:rsidP="008D7545">
      <w:pPr>
        <w:spacing w:after="120"/>
        <w:rPr>
          <w:sz w:val="20"/>
          <w:szCs w:val="20"/>
        </w:rPr>
      </w:pPr>
      <w:r w:rsidRPr="003A797E">
        <w:rPr>
          <w:sz w:val="20"/>
          <w:szCs w:val="20"/>
        </w:rPr>
        <w:t xml:space="preserve">This means that while Ireland remains part of the EU after </w:t>
      </w:r>
      <w:r w:rsidR="00781032">
        <w:rPr>
          <w:sz w:val="20"/>
          <w:szCs w:val="20"/>
        </w:rPr>
        <w:t>the UK</w:t>
      </w:r>
      <w:r w:rsidR="00781032" w:rsidRPr="003A797E">
        <w:rPr>
          <w:sz w:val="20"/>
          <w:szCs w:val="20"/>
        </w:rPr>
        <w:t xml:space="preserve"> </w:t>
      </w:r>
      <w:r w:rsidRPr="003A797E">
        <w:rPr>
          <w:sz w:val="20"/>
          <w:szCs w:val="20"/>
        </w:rPr>
        <w:t xml:space="preserve">leaves, their citizens will still have the right to apply for </w:t>
      </w:r>
      <w:r w:rsidR="003A797E" w:rsidRPr="003A797E">
        <w:rPr>
          <w:sz w:val="20"/>
          <w:szCs w:val="20"/>
        </w:rPr>
        <w:t>and</w:t>
      </w:r>
      <w:r w:rsidRPr="003A797E">
        <w:rPr>
          <w:sz w:val="20"/>
          <w:szCs w:val="20"/>
        </w:rPr>
        <w:t xml:space="preserve"> </w:t>
      </w:r>
      <w:r w:rsidR="00F205DA" w:rsidRPr="003A797E">
        <w:rPr>
          <w:sz w:val="20"/>
          <w:szCs w:val="20"/>
        </w:rPr>
        <w:t>access</w:t>
      </w:r>
      <w:r w:rsidRPr="003A797E">
        <w:rPr>
          <w:sz w:val="20"/>
          <w:szCs w:val="20"/>
        </w:rPr>
        <w:t xml:space="preserve"> social housing</w:t>
      </w:r>
      <w:r w:rsidR="00B31846" w:rsidRPr="003A797E">
        <w:rPr>
          <w:sz w:val="20"/>
          <w:szCs w:val="20"/>
        </w:rPr>
        <w:t>, further, should they require help with housing costs they should not be turned down on basis of citizenship.</w:t>
      </w:r>
    </w:p>
    <w:p w14:paraId="00A1635B" w14:textId="3BDA7799" w:rsidR="00B31846" w:rsidRPr="003A797E" w:rsidRDefault="00B31846" w:rsidP="00565A0F">
      <w:pPr>
        <w:spacing w:after="0"/>
        <w:rPr>
          <w:sz w:val="20"/>
          <w:szCs w:val="20"/>
        </w:rPr>
      </w:pPr>
      <w:r w:rsidRPr="003A797E">
        <w:rPr>
          <w:sz w:val="20"/>
          <w:szCs w:val="20"/>
        </w:rPr>
        <w:t>Irish nationals still remain subject to Habitual Residence conditions where they return to the CTA after a period living in a third country.</w:t>
      </w:r>
    </w:p>
    <w:p w14:paraId="66401052" w14:textId="77777777" w:rsidR="00F205DA" w:rsidRPr="00286A9C" w:rsidRDefault="00F205DA" w:rsidP="00565A0F">
      <w:pPr>
        <w:spacing w:after="0"/>
        <w:rPr>
          <w:sz w:val="21"/>
          <w:szCs w:val="21"/>
        </w:rPr>
      </w:pPr>
    </w:p>
    <w:p w14:paraId="4634877B" w14:textId="77777777" w:rsidR="00152853" w:rsidRPr="00286A9C" w:rsidRDefault="00152853" w:rsidP="00152853">
      <w:pPr>
        <w:spacing w:after="0"/>
        <w:rPr>
          <w:sz w:val="21"/>
          <w:szCs w:val="21"/>
        </w:rPr>
      </w:pPr>
    </w:p>
    <w:p w14:paraId="26B16952" w14:textId="77777777" w:rsidR="00BD2DE0" w:rsidRPr="00B31846" w:rsidRDefault="00BD2DE0">
      <w:pPr>
        <w:rPr>
          <w:sz w:val="20"/>
          <w:szCs w:val="20"/>
        </w:rPr>
      </w:pPr>
    </w:p>
    <w:sectPr w:rsidR="00BD2DE0" w:rsidRPr="00B31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4297"/>
    <w:multiLevelType w:val="hybridMultilevel"/>
    <w:tmpl w:val="DFF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B76D0"/>
    <w:multiLevelType w:val="hybridMultilevel"/>
    <w:tmpl w:val="C7D8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966DC"/>
    <w:multiLevelType w:val="hybridMultilevel"/>
    <w:tmpl w:val="771C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26C12"/>
    <w:multiLevelType w:val="hybridMultilevel"/>
    <w:tmpl w:val="923A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53"/>
    <w:rsid w:val="00000034"/>
    <w:rsid w:val="000D4DDD"/>
    <w:rsid w:val="00152853"/>
    <w:rsid w:val="00286A9C"/>
    <w:rsid w:val="003A797E"/>
    <w:rsid w:val="004E2C9F"/>
    <w:rsid w:val="00565A0F"/>
    <w:rsid w:val="005F163B"/>
    <w:rsid w:val="00615534"/>
    <w:rsid w:val="006E0434"/>
    <w:rsid w:val="00781032"/>
    <w:rsid w:val="007B3B10"/>
    <w:rsid w:val="008D7545"/>
    <w:rsid w:val="00A15404"/>
    <w:rsid w:val="00A724E9"/>
    <w:rsid w:val="00B31846"/>
    <w:rsid w:val="00B351BA"/>
    <w:rsid w:val="00BD2DE0"/>
    <w:rsid w:val="00CA0A4E"/>
    <w:rsid w:val="00F205DA"/>
    <w:rsid w:val="00F77119"/>
    <w:rsid w:val="00FF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2FD4"/>
  <w15:chartTrackingRefBased/>
  <w15:docId w15:val="{C13F67F2-8959-48FB-9A47-464FDB46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2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53"/>
    <w:pPr>
      <w:ind w:left="720"/>
      <w:contextualSpacing/>
    </w:pPr>
  </w:style>
  <w:style w:type="paragraph" w:styleId="BalloonText">
    <w:name w:val="Balloon Text"/>
    <w:basedOn w:val="Normal"/>
    <w:link w:val="BalloonTextChar"/>
    <w:uiPriority w:val="99"/>
    <w:semiHidden/>
    <w:unhideWhenUsed/>
    <w:rsid w:val="008D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Rodgers</dc:creator>
  <cp:keywords/>
  <dc:description/>
  <cp:lastModifiedBy>Judith Orr</cp:lastModifiedBy>
  <cp:revision>2</cp:revision>
  <dcterms:created xsi:type="dcterms:W3CDTF">2019-09-11T11:35:00Z</dcterms:created>
  <dcterms:modified xsi:type="dcterms:W3CDTF">2019-09-11T11:35:00Z</dcterms:modified>
</cp:coreProperties>
</file>